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3271" w14:textId="77777777" w:rsidR="009426E9" w:rsidRDefault="00B834F9" w:rsidP="00B834F9">
      <w:pPr>
        <w:spacing w:before="100" w:beforeAutospacing="1" w:after="0"/>
        <w:jc w:val="center"/>
        <w:rPr>
          <w:b/>
          <w:sz w:val="28"/>
          <w:szCs w:val="28"/>
        </w:rPr>
      </w:pPr>
      <w:r w:rsidRPr="00B834F9">
        <w:rPr>
          <w:b/>
          <w:sz w:val="28"/>
          <w:szCs w:val="28"/>
        </w:rPr>
        <w:t>Medical Necessity of Voice Analysis with Dysphagia Patients CPT Code 92524</w:t>
      </w:r>
    </w:p>
    <w:p w14:paraId="54B9F25D" w14:textId="77777777" w:rsidR="00B834F9" w:rsidRDefault="00B834F9" w:rsidP="00B834F9">
      <w:pPr>
        <w:spacing w:before="100" w:beforeAutospacing="1" w:after="0"/>
        <w:jc w:val="center"/>
        <w:rPr>
          <w:b/>
          <w:sz w:val="28"/>
          <w:szCs w:val="28"/>
        </w:rPr>
      </w:pPr>
    </w:p>
    <w:p w14:paraId="7C93C767" w14:textId="77777777" w:rsidR="00B834F9" w:rsidRDefault="00B834F9" w:rsidP="00B834F9">
      <w:pPr>
        <w:pStyle w:val="ListParagraph"/>
        <w:numPr>
          <w:ilvl w:val="0"/>
          <w:numId w:val="2"/>
        </w:num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>Dysphagia and Dysphonia frequently coexist in geriatric, medically complex patients residing in long term care (SNF) facilities.</w:t>
      </w:r>
    </w:p>
    <w:p w14:paraId="4C55B0A8" w14:textId="77777777" w:rsidR="00B834F9" w:rsidRDefault="00B834F9" w:rsidP="00B834F9">
      <w:pPr>
        <w:pStyle w:val="ListParagraph"/>
        <w:numPr>
          <w:ilvl w:val="0"/>
          <w:numId w:val="2"/>
        </w:num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>The muscles of voice are also inseparable muscles utilized in the pharyngeal phase of swallowing.</w:t>
      </w:r>
    </w:p>
    <w:p w14:paraId="0E66E8C9" w14:textId="77777777" w:rsidR="00B834F9" w:rsidRDefault="00B834F9" w:rsidP="00B834F9">
      <w:pPr>
        <w:pStyle w:val="ListParagraph"/>
        <w:numPr>
          <w:ilvl w:val="0"/>
          <w:numId w:val="2"/>
        </w:num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>Some voice therapies (i.e., LSVT) have been shown to have significant therapeutic crossover effects in the form of Level 1 evidence for treatment of pharyngeal phase dysphagia.</w:t>
      </w:r>
    </w:p>
    <w:p w14:paraId="1CFD3300" w14:textId="77777777" w:rsidR="00B834F9" w:rsidRDefault="00B834F9" w:rsidP="00B834F9">
      <w:pPr>
        <w:pStyle w:val="ListParagraph"/>
        <w:numPr>
          <w:ilvl w:val="0"/>
          <w:numId w:val="2"/>
        </w:num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>Glissandos from low pitch to high pitch, Glissandos from high pitch to low pitch, and various types of TVF Adduction tasks need a voice exam preferably with stroboscopy to ensure no threats are posed to the airway at the level of the larynx regardless if the primary purpose of using them is a swallow disorder, a voice disorder or both.</w:t>
      </w:r>
    </w:p>
    <w:p w14:paraId="389A4185" w14:textId="77777777" w:rsidR="00B834F9" w:rsidRDefault="00B834F9" w:rsidP="00B834F9">
      <w:pPr>
        <w:pStyle w:val="ListParagraph"/>
        <w:spacing w:before="100" w:beforeAutospacing="1" w:after="0"/>
        <w:ind w:left="1080"/>
        <w:rPr>
          <w:sz w:val="24"/>
          <w:szCs w:val="24"/>
        </w:rPr>
      </w:pPr>
    </w:p>
    <w:p w14:paraId="10D05FD7" w14:textId="77777777" w:rsidR="00B834F9" w:rsidRDefault="00B834F9" w:rsidP="00B834F9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It is critical to ensure both the patient </w:t>
      </w:r>
      <w:r w:rsidR="006623BA">
        <w:rPr>
          <w:sz w:val="24"/>
          <w:szCs w:val="24"/>
        </w:rPr>
        <w:t>wellbeing</w:t>
      </w:r>
      <w:r>
        <w:rPr>
          <w:sz w:val="24"/>
          <w:szCs w:val="24"/>
        </w:rPr>
        <w:t xml:space="preserve"> and patient safety when treating pharyngeal swallow disorders which often include the larynx.  The perceptual, acoustic, and stroboscopic components of Comprehensive Swallow-Voice Assessment (CSA) endoscopy procedures ensure all of this when holistically evaluating physiological disorders of the upper aerodigestive tract including, but not limited to, dysphagia.</w:t>
      </w:r>
    </w:p>
    <w:p w14:paraId="24F96A63" w14:textId="77777777" w:rsidR="00B834F9" w:rsidRDefault="00B834F9" w:rsidP="00B834F9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>To ensure reimbursement for CPT Code 92524, it is important for the facility SLP to document any signs characteristic of a voice disorder on the clinical (Bedside) swallow exam, including the HCFA 700.  These signs characteristic of a voice disorder may include one or more of the following:  hoarseness, breathiness, tension/strain, glottal fry, wet vocal quality, pitch breaks, diplophonia, decreased loudness, decreased pitch range, abnormally high/low pitch</w:t>
      </w:r>
      <w:r w:rsidR="006623BA">
        <w:rPr>
          <w:sz w:val="24"/>
          <w:szCs w:val="24"/>
        </w:rPr>
        <w:t>, shortness of breath when speaking, etc.</w:t>
      </w:r>
    </w:p>
    <w:p w14:paraId="60CA9AB8" w14:textId="36687F61" w:rsidR="00952735" w:rsidRDefault="006623BA" w:rsidP="00B834F9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>In addition, it may also be helpful for nursing staff and/or physician staff to support the SLP’s observations of voice differences.</w:t>
      </w:r>
    </w:p>
    <w:p w14:paraId="23CE3B94" w14:textId="09153E21" w:rsidR="00952735" w:rsidRDefault="00952735" w:rsidP="00B834F9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>ICD</w:t>
      </w:r>
      <w:r w:rsidR="00D32CE1">
        <w:rPr>
          <w:sz w:val="24"/>
          <w:szCs w:val="24"/>
        </w:rPr>
        <w:t>-10 Diagnosis Code</w:t>
      </w:r>
      <w:r w:rsidR="00DC453D">
        <w:rPr>
          <w:sz w:val="24"/>
          <w:szCs w:val="24"/>
        </w:rPr>
        <w:t>: R49.0 (Dysphonia)</w:t>
      </w:r>
    </w:p>
    <w:p w14:paraId="4F1436FC" w14:textId="77777777" w:rsidR="006623BA" w:rsidRPr="00B834F9" w:rsidRDefault="006623BA" w:rsidP="00B834F9">
      <w:pPr>
        <w:spacing w:before="100" w:beforeAutospacing="1" w:after="0"/>
        <w:rPr>
          <w:sz w:val="24"/>
          <w:szCs w:val="24"/>
        </w:rPr>
      </w:pPr>
    </w:p>
    <w:sectPr w:rsidR="006623BA" w:rsidRPr="00B8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5FB4"/>
    <w:multiLevelType w:val="hybridMultilevel"/>
    <w:tmpl w:val="E3B8CBE8"/>
    <w:lvl w:ilvl="0" w:tplc="8A649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0F48D9"/>
    <w:multiLevelType w:val="hybridMultilevel"/>
    <w:tmpl w:val="35E02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5111">
    <w:abstractNumId w:val="1"/>
  </w:num>
  <w:num w:numId="2" w16cid:durableId="158645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9"/>
    <w:rsid w:val="002C2433"/>
    <w:rsid w:val="006623BA"/>
    <w:rsid w:val="0081118D"/>
    <w:rsid w:val="009426E9"/>
    <w:rsid w:val="00952735"/>
    <w:rsid w:val="00B834F9"/>
    <w:rsid w:val="00CB1C84"/>
    <w:rsid w:val="00D32CE1"/>
    <w:rsid w:val="00DC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DC26"/>
  <w15:docId w15:val="{DEE166FE-1572-46EB-A5CC-700FE5BA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 Cochran</dc:creator>
  <cp:lastModifiedBy>Chris Gaskill</cp:lastModifiedBy>
  <cp:revision>5</cp:revision>
  <dcterms:created xsi:type="dcterms:W3CDTF">2025-03-06T19:22:00Z</dcterms:created>
  <dcterms:modified xsi:type="dcterms:W3CDTF">2025-04-17T10:45:00Z</dcterms:modified>
</cp:coreProperties>
</file>